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微纳能源与传感微专业介绍</w:t>
      </w:r>
    </w:p>
    <w:p w14:paraId="5304E173">
      <w:pPr>
        <w:rPr>
          <w:rFonts w:hint="eastAsia" w:ascii="宋体" w:hAnsi="宋体" w:eastAsia="宋体" w:cs="宋体"/>
          <w:szCs w:val="21"/>
        </w:rPr>
      </w:pPr>
    </w:p>
    <w:p w14:paraId="2748B344">
      <w:pPr>
        <w:rPr>
          <w:rFonts w:hint="eastAsia" w:ascii="黑体" w:hAnsi="黑体" w:eastAsia="黑体" w:cs="黑体"/>
          <w:sz w:val="32"/>
          <w:szCs w:val="32"/>
        </w:rPr>
      </w:pPr>
      <w:r>
        <w:rPr>
          <w:rFonts w:hint="eastAsia" w:ascii="黑体" w:hAnsi="黑体" w:eastAsia="黑体" w:cs="黑体"/>
          <w:sz w:val="32"/>
          <w:szCs w:val="32"/>
        </w:rPr>
        <w:t>一、微纳能源与传感微专业简介</w:t>
      </w:r>
    </w:p>
    <w:p w14:paraId="4E5D3E1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微专业紧扣国家“双碳”战略目标与智能传感技术革新需求，构建“学科交叉-技术贯通-场景驱动”三位一体人才培养体系。通过整合材料科学、能源工程、信息传感等多学科知识，聚焦微纳尺度下能源转换与智能驱动技术研发，培养具备跨学科视野和创新实践能力的复合型人才。学分互认：微专业课程可替代材料、化学、能源类选修课学分。毕业要求：修满7学分。</w:t>
      </w:r>
    </w:p>
    <w:p w14:paraId="3E8C793A">
      <w:pPr>
        <w:rPr>
          <w:rFonts w:hint="eastAsia" w:ascii="黑体" w:hAnsi="黑体" w:eastAsia="黑体" w:cs="黑体"/>
          <w:sz w:val="32"/>
          <w:szCs w:val="32"/>
        </w:rPr>
      </w:pPr>
      <w:r>
        <w:rPr>
          <w:rFonts w:hint="eastAsia" w:ascii="黑体" w:hAnsi="黑体" w:eastAsia="黑体" w:cs="黑体"/>
          <w:sz w:val="32"/>
          <w:szCs w:val="32"/>
        </w:rPr>
        <w:t>二、培养目标（限300字）</w:t>
      </w:r>
    </w:p>
    <w:p w14:paraId="12F3BF11">
      <w:pPr>
        <w:rPr>
          <w:rFonts w:hint="eastAsia" w:ascii="仿宋_GB2312" w:eastAsia="仿宋_GB2312"/>
          <w:sz w:val="28"/>
          <w:szCs w:val="28"/>
        </w:rPr>
      </w:pPr>
      <w:r>
        <w:rPr>
          <w:rFonts w:hint="eastAsia" w:ascii="仿宋_GB2312" w:eastAsia="仿宋_GB2312"/>
          <w:sz w:val="28"/>
          <w:szCs w:val="28"/>
        </w:rPr>
        <w:t>培养掌握微纳技术及跨尺度器件设计能力的新型工程人才，具体要求：</w:t>
      </w:r>
    </w:p>
    <w:p w14:paraId="0A1D0A74">
      <w:pPr>
        <w:pStyle w:val="4"/>
        <w:numPr>
          <w:ilvl w:val="0"/>
          <w:numId w:val="1"/>
        </w:numPr>
        <w:ind w:firstLineChars="0"/>
        <w:rPr>
          <w:rFonts w:ascii="仿宋_GB2312" w:eastAsia="仿宋_GB2312"/>
          <w:sz w:val="28"/>
          <w:szCs w:val="28"/>
        </w:rPr>
      </w:pPr>
      <w:r>
        <w:rPr>
          <w:rFonts w:hint="eastAsia" w:ascii="仿宋_GB2312" w:eastAsia="仿宋_GB2312"/>
          <w:sz w:val="28"/>
          <w:szCs w:val="28"/>
        </w:rPr>
        <w:t>掌握纳米材料表界面调控、微流控能量传输、电催化制氢等核心技术原理；</w:t>
      </w:r>
    </w:p>
    <w:p w14:paraId="7C89EE44">
      <w:pPr>
        <w:pStyle w:val="4"/>
        <w:numPr>
          <w:ilvl w:val="0"/>
          <w:numId w:val="1"/>
        </w:numPr>
        <w:ind w:firstLineChars="0"/>
        <w:rPr>
          <w:rFonts w:hint="eastAsia" w:ascii="仿宋_GB2312" w:eastAsia="仿宋_GB2312"/>
          <w:sz w:val="28"/>
          <w:szCs w:val="28"/>
        </w:rPr>
      </w:pPr>
      <w:r>
        <w:rPr>
          <w:rFonts w:hint="eastAsia" w:ascii="仿宋_GB2312" w:eastAsia="仿宋_GB2312"/>
          <w:sz w:val="28"/>
          <w:szCs w:val="28"/>
        </w:rPr>
        <w:t>具备纳米合成、表征测试、分析应用等实践能力；</w:t>
      </w:r>
    </w:p>
    <w:p w14:paraId="77E0CEBC">
      <w:pPr>
        <w:pStyle w:val="4"/>
        <w:numPr>
          <w:ilvl w:val="0"/>
          <w:numId w:val="1"/>
        </w:numPr>
        <w:ind w:firstLineChars="0"/>
        <w:rPr>
          <w:rFonts w:ascii="仿宋_GB2312" w:eastAsia="仿宋_GB2312"/>
          <w:sz w:val="28"/>
          <w:szCs w:val="28"/>
        </w:rPr>
      </w:pPr>
      <w:r>
        <w:rPr>
          <w:rFonts w:hint="eastAsia" w:ascii="仿宋_GB2312" w:eastAsia="仿宋_GB2312"/>
          <w:sz w:val="28"/>
          <w:szCs w:val="28"/>
        </w:rPr>
        <w:t>具备纳米合成、表征测试、分析应用等实践能力；</w:t>
      </w:r>
    </w:p>
    <w:p w14:paraId="4A678F7A">
      <w:pPr>
        <w:pStyle w:val="4"/>
        <w:numPr>
          <w:ilvl w:val="0"/>
          <w:numId w:val="1"/>
        </w:numPr>
        <w:ind w:firstLineChars="0"/>
        <w:rPr>
          <w:rFonts w:hint="eastAsia" w:ascii="仿宋_GB2312" w:eastAsia="仿宋_GB2312"/>
          <w:sz w:val="28"/>
          <w:szCs w:val="28"/>
        </w:rPr>
      </w:pPr>
      <w:r>
        <w:rPr>
          <w:rFonts w:hint="eastAsia" w:ascii="仿宋_GB2312" w:eastAsia="仿宋_GB2312"/>
          <w:sz w:val="28"/>
          <w:szCs w:val="28"/>
        </w:rPr>
        <w:t>能在智慧医疗、海洋能开发、清洁能源等场景中提供创新解决方案，满足战略性新兴产业人才需求。</w:t>
      </w:r>
    </w:p>
    <w:p w14:paraId="38D8F7C3">
      <w:pPr>
        <w:rPr>
          <w:rFonts w:hint="eastAsia" w:ascii="黑体" w:hAnsi="黑体" w:eastAsia="黑体" w:cs="黑体"/>
          <w:sz w:val="32"/>
          <w:szCs w:val="32"/>
        </w:rPr>
      </w:pPr>
      <w:r>
        <w:rPr>
          <w:rFonts w:hint="eastAsia" w:ascii="黑体" w:hAnsi="黑体" w:eastAsia="黑体" w:cs="黑体"/>
          <w:sz w:val="32"/>
          <w:szCs w:val="32"/>
        </w:rPr>
        <w:t>三、办学条件（限500字，含主要负责人简介、教学团队、教学资源等）</w:t>
      </w:r>
    </w:p>
    <w:p w14:paraId="05BBF353">
      <w:pPr>
        <w:ind w:firstLine="560" w:firstLineChars="200"/>
        <w:rPr>
          <w:rFonts w:ascii="仿宋_GB2312" w:eastAsia="仿宋_GB2312"/>
          <w:sz w:val="28"/>
          <w:szCs w:val="28"/>
        </w:rPr>
      </w:pPr>
      <w:r>
        <w:rPr>
          <w:rFonts w:hint="eastAsia" w:ascii="仿宋_GB2312" w:eastAsia="仿宋_GB2312"/>
          <w:sz w:val="28"/>
          <w:szCs w:val="28"/>
        </w:rPr>
        <w:t>哈工程青岛基地拥有现代化的多媒体教室和实验室，能够为微纳能源与传感专业的教学和科研提供坚实的硬件支持。该微专业由材料科学与工程专业4名专职教师组成，将充分发挥各自专业所长及研究特色，为培养交叉复合型新能源与智能传感技术人才做好保障。</w:t>
      </w:r>
    </w:p>
    <w:p w14:paraId="6964C850">
      <w:pPr>
        <w:ind w:firstLine="562" w:firstLineChars="200"/>
        <w:rPr>
          <w:rFonts w:ascii="仿宋_GB2312" w:eastAsia="仿宋_GB2312"/>
          <w:sz w:val="28"/>
          <w:szCs w:val="28"/>
        </w:rPr>
      </w:pPr>
      <w:r>
        <w:rPr>
          <w:rFonts w:hint="eastAsia" w:ascii="仿宋_GB2312" w:eastAsia="仿宋_GB2312"/>
          <w:b/>
          <w:bCs/>
          <w:sz w:val="28"/>
          <w:szCs w:val="28"/>
        </w:rPr>
        <w:t>专业负责人梁康</w:t>
      </w:r>
      <w:r>
        <w:rPr>
          <w:rFonts w:hint="eastAsia" w:ascii="仿宋_GB2312" w:eastAsia="仿宋_GB2312"/>
          <w:sz w:val="28"/>
          <w:szCs w:val="28"/>
        </w:rPr>
        <w:t>，材料科学与工程专业，博导/教授，长期从事材料科学与工程专业的教育教学工作，担任英国皇家化学会会士，澳大利亚同步加速器项目咨询委员会联合主席。以第一及通讯作者在国际期刊上发表SCI学术论文80余篇，总引用超过13000次，H-因子57。曾获得第65届林道诺贝尔奖获得者会议提名人，澳大利亚纳米技术网络奖、维斯基市维多利亚奖学金、新南威尔士科学奖学金、新南威尔士研究优秀奖、ES&amp;T最佳论文奖最佳环境技术文章亚军、ARC未来奖学金。</w:t>
      </w:r>
    </w:p>
    <w:p w14:paraId="7DD720BD">
      <w:pPr>
        <w:ind w:firstLine="562" w:firstLineChars="200"/>
        <w:rPr>
          <w:rFonts w:ascii="仿宋_GB2312" w:eastAsia="仿宋_GB2312"/>
          <w:sz w:val="28"/>
          <w:szCs w:val="28"/>
        </w:rPr>
      </w:pPr>
      <w:r>
        <w:rPr>
          <w:rFonts w:hint="eastAsia" w:ascii="仿宋_GB2312" w:eastAsia="仿宋_GB2312"/>
          <w:b/>
          <w:bCs/>
          <w:sz w:val="28"/>
          <w:szCs w:val="28"/>
        </w:rPr>
        <w:t>专业核心成员梁启锐</w:t>
      </w:r>
      <w:r>
        <w:rPr>
          <w:rFonts w:hint="eastAsia" w:ascii="仿宋_GB2312" w:eastAsia="仿宋_GB2312"/>
          <w:sz w:val="28"/>
          <w:szCs w:val="28"/>
        </w:rPr>
        <w:t>，材料科学与工程专业，硕导/副教授，主要专注于海洋能源转换材料及器件的开发研究。</w:t>
      </w:r>
      <w:r>
        <w:rPr>
          <w:rFonts w:hint="eastAsia" w:ascii="仿宋_GB2312" w:eastAsia="仿宋_GB2312"/>
          <w:b/>
          <w:bCs/>
          <w:sz w:val="28"/>
          <w:szCs w:val="28"/>
        </w:rPr>
        <w:t>专业核心成员何彦君</w:t>
      </w:r>
      <w:r>
        <w:rPr>
          <w:rFonts w:hint="eastAsia" w:ascii="仿宋_GB2312" w:eastAsia="仿宋_GB2312"/>
          <w:sz w:val="28"/>
          <w:szCs w:val="28"/>
        </w:rPr>
        <w:t>，材料科学与工程专业，硕导/副教授，面向海洋新材料领域，开展功能介孔复合材料薄膜的设计制备及应用开发。</w:t>
      </w:r>
      <w:r>
        <w:rPr>
          <w:rFonts w:hint="eastAsia" w:ascii="仿宋_GB2312" w:eastAsia="仿宋_GB2312"/>
          <w:b/>
          <w:bCs/>
          <w:sz w:val="28"/>
          <w:szCs w:val="28"/>
        </w:rPr>
        <w:t>专业核心成员刘天亿</w:t>
      </w:r>
      <w:r>
        <w:rPr>
          <w:rFonts w:hint="eastAsia" w:ascii="仿宋_GB2312" w:eastAsia="仿宋_GB2312"/>
          <w:sz w:val="28"/>
          <w:szCs w:val="28"/>
        </w:rPr>
        <w:t>，材料科学与工程专业，硕导/副教授，主要开展光控智能微纳机器人的设计开发工作。</w:t>
      </w:r>
    </w:p>
    <w:p w14:paraId="268A9967">
      <w:pPr>
        <w:rPr>
          <w:rFonts w:hint="eastAsia" w:ascii="黑体" w:hAnsi="黑体" w:eastAsia="黑体" w:cs="黑体"/>
          <w:sz w:val="32"/>
          <w:szCs w:val="32"/>
        </w:rPr>
      </w:pPr>
      <w:r>
        <w:rPr>
          <w:rFonts w:hint="eastAsia" w:ascii="黑体" w:hAnsi="黑体" w:eastAsia="黑体" w:cs="黑体"/>
          <w:sz w:val="32"/>
          <w:szCs w:val="32"/>
        </w:rPr>
        <w:t>四、招生要求（限300字，主要体现对哪方面内容感兴趣或者想学哪方面知识技能的学生可以报名）</w:t>
      </w:r>
    </w:p>
    <w:p w14:paraId="136F44DF">
      <w:pPr>
        <w:rPr>
          <w:rFonts w:hint="eastAsia" w:ascii="仿宋_GB2312" w:eastAsia="仿宋_GB2312"/>
          <w:sz w:val="28"/>
          <w:szCs w:val="28"/>
        </w:rPr>
      </w:pPr>
      <w:r>
        <w:rPr>
          <w:rFonts w:hint="eastAsia" w:ascii="仿宋_GB2312" w:eastAsia="仿宋_GB2312"/>
          <w:sz w:val="28"/>
          <w:szCs w:val="28"/>
        </w:rPr>
        <w:t>面向材料、化学、能源相关专业二年级及以上本科生，每届限额 30 人。</w:t>
      </w:r>
    </w:p>
    <w:p w14:paraId="2EB1CA3F">
      <w:pPr>
        <w:rPr>
          <w:rFonts w:hint="eastAsia" w:ascii="仿宋_GB2312" w:eastAsia="仿宋_GB2312"/>
          <w:sz w:val="28"/>
          <w:szCs w:val="28"/>
        </w:rPr>
      </w:pPr>
      <w:r>
        <w:rPr>
          <w:rFonts w:hint="eastAsia" w:ascii="仿宋_GB2312" w:eastAsia="仿宋_GB2312"/>
          <w:sz w:val="28"/>
          <w:szCs w:val="28"/>
        </w:rPr>
        <w:t>要求：</w:t>
      </w:r>
    </w:p>
    <w:p w14:paraId="3C33C4A3">
      <w:pPr>
        <w:rPr>
          <w:rFonts w:hint="eastAsia" w:ascii="仿宋_GB2312" w:eastAsia="仿宋_GB2312"/>
          <w:sz w:val="28"/>
          <w:szCs w:val="28"/>
        </w:rPr>
      </w:pPr>
      <w:r>
        <w:rPr>
          <w:rFonts w:hint="eastAsia" w:ascii="仿宋_GB2312" w:eastAsia="仿宋_GB2312"/>
          <w:sz w:val="28"/>
          <w:szCs w:val="28"/>
        </w:rPr>
        <w:t>（1）学业成绩位列专业前 50%；</w:t>
      </w:r>
    </w:p>
    <w:p w14:paraId="75A8A54E">
      <w:pPr>
        <w:rPr>
          <w:rFonts w:hint="eastAsia" w:ascii="仿宋_GB2312" w:eastAsia="仿宋_GB2312"/>
          <w:sz w:val="28"/>
          <w:szCs w:val="28"/>
        </w:rPr>
      </w:pPr>
      <w:r>
        <w:rPr>
          <w:rFonts w:hint="eastAsia" w:ascii="仿宋_GB2312" w:eastAsia="仿宋_GB2312"/>
          <w:sz w:val="28"/>
          <w:szCs w:val="28"/>
        </w:rPr>
        <w:t>（2）已修《材料科学基础》优先；</w:t>
      </w:r>
    </w:p>
    <w:p w14:paraId="32D5B949">
      <w:pPr>
        <w:rPr>
          <w:rFonts w:hint="eastAsia" w:ascii="仿宋_GB2312" w:eastAsia="仿宋_GB2312"/>
          <w:sz w:val="28"/>
          <w:szCs w:val="28"/>
        </w:rPr>
      </w:pPr>
      <w:r>
        <w:rPr>
          <w:rFonts w:hint="eastAsia" w:ascii="仿宋_GB2312" w:eastAsia="仿宋_GB2312"/>
          <w:sz w:val="28"/>
          <w:szCs w:val="28"/>
        </w:rPr>
        <w:t>（3）具有纳米材料科创/竞赛经历者优先。</w:t>
      </w:r>
    </w:p>
    <w:p w14:paraId="5B047C44">
      <w:pPr>
        <w:numPr>
          <w:ilvl w:val="0"/>
          <w:numId w:val="2"/>
        </w:numPr>
        <w:rPr>
          <w:rFonts w:hint="eastAsia" w:ascii="黑体" w:hAnsi="黑体" w:eastAsia="黑体" w:cs="黑体"/>
          <w:sz w:val="32"/>
          <w:szCs w:val="32"/>
        </w:rPr>
      </w:pPr>
      <w:r>
        <w:rPr>
          <w:rFonts w:hint="eastAsia" w:ascii="黑体" w:hAnsi="黑体" w:eastAsia="黑体" w:cs="黑体"/>
          <w:sz w:val="32"/>
          <w:szCs w:val="32"/>
        </w:rPr>
        <w:t>特色优势（限500字，含微专业的亮点，对应用、升学、就业前景等方面的帮助）</w:t>
      </w:r>
    </w:p>
    <w:p w14:paraId="214781A0">
      <w:pPr>
        <w:ind w:firstLine="560" w:firstLineChars="200"/>
        <w:rPr>
          <w:rFonts w:hint="eastAsia" w:ascii="仿宋_GB2312" w:hAnsi="黑体" w:eastAsia="仿宋_GB2312" w:cs="黑体"/>
          <w:sz w:val="28"/>
          <w:szCs w:val="28"/>
        </w:rPr>
      </w:pPr>
      <w:r>
        <w:rPr>
          <w:rFonts w:hint="eastAsia" w:ascii="仿宋_GB2312" w:hAnsi="黑体" w:eastAsia="仿宋_GB2312" w:cs="黑体"/>
          <w:sz w:val="28"/>
          <w:szCs w:val="28"/>
        </w:rPr>
        <w:t>本微专业精准对接国家“双碳”战略与智能传感技术革新需求，以微纳尺度下的能源转换与智能驱动为核心切口，定位精准、前瞻性强，体现了“小切口、深融合、高站位”的学科布局特色。课程涵盖了从基础原理（纳米材料表界面调控、微流控能量传输）到核心技术（电催化制氢、纳流器件）再到典型应用（智慧医疗、海洋能开发），有效解决了传统教学中技术与应用脱节的问题。在升学方面，跨学科的知识结构与微纳器件设计能力使学生具备扎实的科研基础，高度契合顶尖高校材料、电子、能源等方向的研究生选拔需求。在就业方面，培养方案直接对标战略性新兴产业，毕业生能够在清洁能源、高端医疗器械、海洋工程等领域从事核心器件研发工作，具备显著的就业竞争力和广阔的产业发展前景，助力学生进入新能源企业（如中船氢能、国家电投）、海洋科研院所（如中科院海洋所）及国防科技单位。</w:t>
      </w:r>
    </w:p>
    <w:p w14:paraId="594C6BD5">
      <w:pPr>
        <w:rPr>
          <w:rFonts w:ascii="仿宋_GB2312" w:hAnsi="仿宋_GB2312" w:eastAsia="仿宋_GB2312" w:cs="仿宋_GB2312"/>
          <w:sz w:val="32"/>
          <w:szCs w:val="32"/>
        </w:rPr>
      </w:pPr>
    </w:p>
    <w:p w14:paraId="00DA18E0">
      <w:pPr>
        <w:rPr>
          <w:rFonts w:ascii="仿宋_GB2312" w:hAnsi="仿宋_GB2312" w:eastAsia="仿宋_GB2312" w:cs="仿宋_GB2312"/>
          <w:sz w:val="32"/>
          <w:szCs w:val="32"/>
        </w:rPr>
      </w:pPr>
      <w:r>
        <w:rPr>
          <w:rFonts w:hint="eastAsia" w:ascii="仿宋_GB2312" w:hAnsi="仿宋_GB2312" w:eastAsia="仿宋_GB2312" w:cs="仿宋_GB2312"/>
          <w:sz w:val="32"/>
          <w:szCs w:val="32"/>
        </w:rPr>
        <w:t>微专业咨询电话：</w:t>
      </w:r>
    </w:p>
    <w:p w14:paraId="3AAFBD0D">
      <w:pPr>
        <w:rPr>
          <w:rFonts w:ascii="仿宋_GB2312" w:hAnsi="仿宋_GB2312" w:eastAsia="仿宋_GB2312" w:cs="仿宋_GB2312"/>
          <w:sz w:val="32"/>
          <w:szCs w:val="32"/>
        </w:rPr>
      </w:pPr>
      <w:r>
        <w:rPr>
          <w:rFonts w:ascii="仿宋_GB2312" w:hAnsi="仿宋_GB2312" w:eastAsia="仿宋_GB2312" w:cs="仿宋_GB2312"/>
          <w:sz w:val="32"/>
          <w:szCs w:val="32"/>
        </w:rPr>
        <w:t>13913343525</w:t>
      </w:r>
      <w:r>
        <w:rPr>
          <w:rFonts w:hint="eastAsia" w:ascii="仿宋_GB2312" w:hAnsi="仿宋_GB2312" w:eastAsia="仿宋_GB2312" w:cs="仿宋_GB2312"/>
          <w:sz w:val="32"/>
          <w:szCs w:val="32"/>
        </w:rPr>
        <w:t xml:space="preserve"> 何彦君</w:t>
      </w:r>
    </w:p>
    <w:p w14:paraId="673291A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18516708959 梁启锐</w:t>
      </w:r>
    </w:p>
    <w:p w14:paraId="4E3A88D7">
      <w:pPr>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6F92C6-280D-4011-92CA-C6090DC6CC7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0F152837-0C3C-456A-8BBD-754DB8498447}"/>
  </w:font>
  <w:font w:name="仿宋_GB2312">
    <w:panose1 w:val="02010609030101010101"/>
    <w:charset w:val="86"/>
    <w:family w:val="modern"/>
    <w:pitch w:val="default"/>
    <w:sig w:usb0="00000001" w:usb1="080E0000" w:usb2="00000000" w:usb3="00000000" w:csb0="00040000" w:csb1="00000000"/>
    <w:embedRegular r:id="rId3" w:fontKey="{28549BCA-61C7-40B4-ACC0-D26FDC281CD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abstractNum w:abstractNumId="1">
    <w:nsid w:val="277D2806"/>
    <w:multiLevelType w:val="multilevel"/>
    <w:tmpl w:val="277D2806"/>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47"/>
    <w:rsid w:val="00052FF6"/>
    <w:rsid w:val="000732C8"/>
    <w:rsid w:val="001E0D31"/>
    <w:rsid w:val="004A1313"/>
    <w:rsid w:val="00837FA0"/>
    <w:rsid w:val="00B66B47"/>
    <w:rsid w:val="00B677F8"/>
    <w:rsid w:val="00B703BE"/>
    <w:rsid w:val="00E36B48"/>
    <w:rsid w:val="00EB3FEA"/>
    <w:rsid w:val="00ED2910"/>
    <w:rsid w:val="17C82771"/>
    <w:rsid w:val="383212C6"/>
    <w:rsid w:val="48FC1322"/>
    <w:rsid w:val="561F2564"/>
    <w:rsid w:val="69D7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1504</Words>
  <Characters>1552</Characters>
  <Lines>58</Lines>
  <Paragraphs>50</Paragraphs>
  <TotalTime>71</TotalTime>
  <ScaleCrop>false</ScaleCrop>
  <LinksUpToDate>false</LinksUpToDate>
  <CharactersWithSpaces>1557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高洁</cp:lastModifiedBy>
  <dcterms:modified xsi:type="dcterms:W3CDTF">2026-05-08T02:46:14Z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5A0AD41AF6DA4051B2B8A9EAA7FF1E3B_12</vt:lpwstr>
  </property>
</Properties>
</file>